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3072" w:rsidRPr="00D43072" w:rsidRDefault="00D43072" w:rsidP="00D43072">
      <w:pPr>
        <w:spacing w:before="100" w:beforeAutospacing="1" w:after="100" w:afterAutospacing="1" w:line="240" w:lineRule="auto"/>
        <w:outlineLvl w:val="0"/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</w:pPr>
      <w:r w:rsidRPr="00D43072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 xml:space="preserve">Inexpensive sol-gel synthesis of </w:t>
      </w:r>
      <w:proofErr w:type="spellStart"/>
      <w:r w:rsidRPr="00D43072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>multiwalled</w:t>
      </w:r>
      <w:proofErr w:type="spellEnd"/>
      <w:r w:rsidRPr="00D43072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 xml:space="preserve"> carbon nanotube-TiO</w:t>
      </w:r>
      <w:r w:rsidRPr="00D43072">
        <w:rPr>
          <w:rFonts w:eastAsia="Times New Roman"/>
          <w:b/>
          <w:bCs/>
          <w:color w:val="000000"/>
          <w:kern w:val="36"/>
          <w:sz w:val="48"/>
          <w:szCs w:val="48"/>
          <w:vertAlign w:val="subscript"/>
          <w:lang w:val="en-GB" w:eastAsia="en-GB"/>
        </w:rPr>
        <w:t>2</w:t>
      </w:r>
      <w:r w:rsidRPr="00D43072">
        <w:rPr>
          <w:rFonts w:eastAsia="Times New Roman"/>
          <w:b/>
          <w:bCs/>
          <w:color w:val="000000"/>
          <w:kern w:val="36"/>
          <w:sz w:val="48"/>
          <w:szCs w:val="48"/>
          <w:lang w:val="en-GB" w:eastAsia="en-GB"/>
        </w:rPr>
        <w:t> hybrids for high performance antibacterial materials</w:t>
      </w:r>
    </w:p>
    <w:p w:rsidR="00D43072" w:rsidRDefault="00D43072" w:rsidP="00D43072">
      <w:pPr>
        <w:jc w:val="both"/>
      </w:pPr>
      <w:bookmarkStart w:id="0" w:name="_GoBack"/>
      <w:r>
        <w:rPr>
          <w:color w:val="000000"/>
          <w:sz w:val="27"/>
          <w:szCs w:val="27"/>
        </w:rPr>
        <w:t>This study reports an inexpensive sol-gel method to synthesize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-CNT hybrid materials. Synthesized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-CNT materials show strong antibacterial activity in the absence of light. Cheap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 source TiOCl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 is used during synthesis in the absence of high temperatures, high pressures and organic solvents.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-CNT materials with 0, 2, 5, 10, 15 and 20 </w:t>
      </w:r>
      <w:proofErr w:type="spellStart"/>
      <w:r>
        <w:rPr>
          <w:color w:val="000000"/>
          <w:sz w:val="27"/>
          <w:szCs w:val="27"/>
        </w:rPr>
        <w:t>wt</w:t>
      </w:r>
      <w:proofErr w:type="spellEnd"/>
      <w:r>
        <w:rPr>
          <w:color w:val="000000"/>
          <w:sz w:val="27"/>
          <w:szCs w:val="27"/>
        </w:rPr>
        <w:t xml:space="preserve">% of CNT were synthesized and compared for antibacterial activity, surface area, porosity, crystalline structure, chemical state, and </w:t>
      </w:r>
      <w:proofErr w:type="spellStart"/>
      <w:r>
        <w:rPr>
          <w:color w:val="000000"/>
          <w:sz w:val="27"/>
          <w:szCs w:val="27"/>
        </w:rPr>
        <w:t>HaCaT</w:t>
      </w:r>
      <w:proofErr w:type="spellEnd"/>
      <w:r>
        <w:rPr>
          <w:color w:val="000000"/>
          <w:sz w:val="27"/>
          <w:szCs w:val="27"/>
        </w:rPr>
        <w:t xml:space="preserve"> cell proliferation. The antibacterial strength of hybrid materials increased significantly with the increase in CNT loading amount, and the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>-CNT samples with a CNT loading of 10 </w:t>
      </w:r>
      <w:proofErr w:type="spellStart"/>
      <w:r>
        <w:rPr>
          <w:color w:val="000000"/>
          <w:sz w:val="27"/>
          <w:szCs w:val="27"/>
        </w:rPr>
        <w:t>wt</w:t>
      </w:r>
      <w:proofErr w:type="spellEnd"/>
      <w:r>
        <w:rPr>
          <w:color w:val="000000"/>
          <w:sz w:val="27"/>
          <w:szCs w:val="27"/>
        </w:rPr>
        <w:t xml:space="preserve">% or more nearly removed all of the </w:t>
      </w:r>
      <w:proofErr w:type="spellStart"/>
      <w:r>
        <w:rPr>
          <w:color w:val="000000"/>
          <w:sz w:val="27"/>
          <w:szCs w:val="27"/>
        </w:rPr>
        <w:t>E.coli</w:t>
      </w:r>
      <w:proofErr w:type="spellEnd"/>
      <w:r>
        <w:rPr>
          <w:color w:val="000000"/>
          <w:sz w:val="27"/>
          <w:szCs w:val="27"/>
        </w:rPr>
        <w:t xml:space="preserve"> bacteria. </w:t>
      </w:r>
      <w:proofErr w:type="spellStart"/>
      <w:r>
        <w:rPr>
          <w:color w:val="000000"/>
          <w:sz w:val="27"/>
          <w:szCs w:val="27"/>
        </w:rPr>
        <w:t>HaCaT</w:t>
      </w:r>
      <w:proofErr w:type="spellEnd"/>
      <w:r>
        <w:rPr>
          <w:color w:val="000000"/>
          <w:sz w:val="27"/>
          <w:szCs w:val="27"/>
        </w:rPr>
        <w:t xml:space="preserve"> cell proliferation studies of synthesized hybrid materials illustrated that prepared TiO</w:t>
      </w:r>
      <w:r>
        <w:rPr>
          <w:color w:val="000000"/>
          <w:vertAlign w:val="subscript"/>
        </w:rPr>
        <w:t>2</w:t>
      </w:r>
      <w:r>
        <w:rPr>
          <w:color w:val="000000"/>
          <w:sz w:val="27"/>
          <w:szCs w:val="27"/>
        </w:rPr>
        <w:t xml:space="preserve">-CNT systems exhibit minimum cytotoxicity. The characteristics of prepared materials were analyzed by means of XRD, FTIR, Raman spectroscopy, XPS, TEM, and nitrogen gas </w:t>
      </w:r>
      <w:proofErr w:type="spellStart"/>
      <w:r>
        <w:rPr>
          <w:color w:val="000000"/>
          <w:sz w:val="27"/>
          <w:szCs w:val="27"/>
        </w:rPr>
        <w:t>physisorption</w:t>
      </w:r>
      <w:proofErr w:type="spellEnd"/>
      <w:r>
        <w:rPr>
          <w:color w:val="000000"/>
          <w:sz w:val="27"/>
          <w:szCs w:val="27"/>
        </w:rPr>
        <w:t xml:space="preserve"> studies, compared and discussed</w:t>
      </w:r>
      <w:bookmarkEnd w:id="0"/>
    </w:p>
    <w:sectPr w:rsidR="00D430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072"/>
    <w:rsid w:val="005E0064"/>
    <w:rsid w:val="0089735E"/>
    <w:rsid w:val="00936980"/>
    <w:rsid w:val="00A84BDA"/>
    <w:rsid w:val="00B510EC"/>
    <w:rsid w:val="00D16A8A"/>
    <w:rsid w:val="00D43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2EF848-46BA-48F8-B870-6C21D0271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able"/>
    <w:qFormat/>
    <w:rsid w:val="00B510EC"/>
    <w:pPr>
      <w:spacing w:after="200" w:line="276" w:lineRule="auto"/>
    </w:pPr>
    <w:rPr>
      <w:rFonts w:ascii="Times New Roman" w:hAnsi="Times New Roman" w:cs="Times New Roman"/>
      <w:sz w:val="24"/>
      <w:lang w:val="en-US"/>
    </w:rPr>
  </w:style>
  <w:style w:type="paragraph" w:styleId="Heading1">
    <w:name w:val="heading 1"/>
    <w:basedOn w:val="Normal"/>
    <w:link w:val="Heading1Char"/>
    <w:uiPriority w:val="9"/>
    <w:qFormat/>
    <w:rsid w:val="00D43072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072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title-text">
    <w:name w:val="title-text"/>
    <w:basedOn w:val="DefaultParagraphFont"/>
    <w:rsid w:val="00D430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508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173</Words>
  <Characters>987</Characters>
  <Application>Microsoft Office Word</Application>
  <DocSecurity>0</DocSecurity>
  <Lines>8</Lines>
  <Paragraphs>2</Paragraphs>
  <ScaleCrop>false</ScaleCrop>
  <Company/>
  <LinksUpToDate>false</LinksUpToDate>
  <CharactersWithSpaces>1158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2020-04-24T07:39:00Z</dcterms:created>
  <dcterms:modified xsi:type="dcterms:W3CDTF">2020-04-24T07:48:00Z</dcterms:modified>
</cp:coreProperties>
</file>