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3C2" w:rsidRDefault="009B43C2" w:rsidP="009B43C2">
      <w:pPr>
        <w:spacing w:before="100" w:beforeAutospacing="1" w:after="0" w:line="240" w:lineRule="auto"/>
        <w:outlineLvl w:val="2"/>
        <w:rPr>
          <w:rFonts w:ascii="Arial" w:eastAsia="Times New Roman" w:hAnsi="Arial" w:cs="Arial"/>
          <w:sz w:val="27"/>
          <w:szCs w:val="27"/>
        </w:rPr>
      </w:pPr>
    </w:p>
    <w:p w:rsidR="0020664F" w:rsidRDefault="0020664F" w:rsidP="009B43C2">
      <w:pPr>
        <w:spacing w:before="100" w:beforeAutospacing="1" w:after="0" w:line="240" w:lineRule="auto"/>
        <w:outlineLvl w:val="2"/>
        <w:rPr>
          <w:rFonts w:ascii="Arial" w:eastAsia="Times New Roman" w:hAnsi="Arial" w:cs="Arial"/>
          <w:sz w:val="27"/>
          <w:szCs w:val="27"/>
        </w:rPr>
      </w:pPr>
      <w:hyperlink r:id="rId4" w:history="1">
        <w:r w:rsidRPr="00C94893">
          <w:rPr>
            <w:rStyle w:val="Hyperlink"/>
            <w:rFonts w:ascii="Arial" w:eastAsia="Times New Roman" w:hAnsi="Arial" w:cs="Arial"/>
            <w:sz w:val="27"/>
            <w:szCs w:val="27"/>
          </w:rPr>
          <w:t>https://www.emerald.com/insight/content/doi/10.1108/JAEE-01-2018-0005/full/html?fullSc=1</w:t>
        </w:r>
      </w:hyperlink>
    </w:p>
    <w:p w:rsidR="0020664F" w:rsidRDefault="0020664F" w:rsidP="009B43C2">
      <w:pPr>
        <w:spacing w:before="100" w:beforeAutospacing="1" w:after="0" w:line="240" w:lineRule="auto"/>
        <w:outlineLvl w:val="2"/>
        <w:rPr>
          <w:rFonts w:ascii="Arial" w:eastAsia="Times New Roman" w:hAnsi="Arial" w:cs="Arial"/>
          <w:sz w:val="27"/>
          <w:szCs w:val="27"/>
        </w:rPr>
      </w:pPr>
      <w:bookmarkStart w:id="0" w:name="_GoBack"/>
      <w:bookmarkEnd w:id="0"/>
    </w:p>
    <w:p w:rsidR="009B43C2" w:rsidRDefault="009B43C2" w:rsidP="009B43C2">
      <w:pPr>
        <w:spacing w:before="100" w:beforeAutospacing="1" w:after="0" w:line="240" w:lineRule="auto"/>
        <w:outlineLvl w:val="2"/>
        <w:rPr>
          <w:rFonts w:ascii="Arial" w:eastAsia="Times New Roman" w:hAnsi="Arial" w:cs="Arial"/>
          <w:sz w:val="27"/>
          <w:szCs w:val="27"/>
        </w:rPr>
      </w:pPr>
      <w:r>
        <w:rPr>
          <w:rFonts w:ascii="Arial" w:eastAsia="Times New Roman" w:hAnsi="Arial" w:cs="Arial"/>
          <w:sz w:val="27"/>
          <w:szCs w:val="27"/>
        </w:rPr>
        <w:t xml:space="preserve">Title: </w:t>
      </w:r>
      <w:r w:rsidRPr="009B43C2">
        <w:rPr>
          <w:rFonts w:ascii="Arial" w:eastAsia="Times New Roman" w:hAnsi="Arial" w:cs="Arial"/>
          <w:sz w:val="27"/>
          <w:szCs w:val="27"/>
        </w:rPr>
        <w:t xml:space="preserve">Investigation of the institutional and decision-usefulness factors in the implementation of accrual accounting reforms in the public sector of Tanzania </w:t>
      </w:r>
    </w:p>
    <w:p w:rsidR="009B43C2" w:rsidRDefault="009B43C2" w:rsidP="009B43C2">
      <w:pPr>
        <w:spacing w:before="100" w:beforeAutospacing="1" w:after="0" w:line="240" w:lineRule="auto"/>
        <w:outlineLvl w:val="2"/>
        <w:rPr>
          <w:rFonts w:ascii="Arial" w:eastAsia="Times New Roman" w:hAnsi="Arial" w:cs="Arial"/>
          <w:sz w:val="27"/>
          <w:szCs w:val="27"/>
        </w:rPr>
      </w:pPr>
    </w:p>
    <w:p w:rsidR="009B43C2" w:rsidRDefault="009B43C2" w:rsidP="009B43C2">
      <w:pPr>
        <w:spacing w:before="100" w:beforeAutospacing="1" w:after="0" w:line="240" w:lineRule="auto"/>
        <w:jc w:val="center"/>
        <w:outlineLvl w:val="2"/>
        <w:rPr>
          <w:rFonts w:ascii="Arial" w:eastAsia="Times New Roman" w:hAnsi="Arial" w:cs="Arial"/>
          <w:sz w:val="27"/>
          <w:szCs w:val="27"/>
        </w:rPr>
      </w:pPr>
      <w:proofErr w:type="spellStart"/>
      <w:r w:rsidRPr="009B43C2">
        <w:rPr>
          <w:rFonts w:ascii="Arial" w:eastAsia="Times New Roman" w:hAnsi="Arial" w:cs="Arial"/>
          <w:sz w:val="27"/>
          <w:szCs w:val="27"/>
        </w:rPr>
        <w:t>Latifa</w:t>
      </w:r>
      <w:proofErr w:type="spellEnd"/>
      <w:r w:rsidRPr="009B43C2">
        <w:rPr>
          <w:rFonts w:ascii="Arial" w:eastAsia="Times New Roman" w:hAnsi="Arial" w:cs="Arial"/>
          <w:sz w:val="27"/>
          <w:szCs w:val="27"/>
        </w:rPr>
        <w:t xml:space="preserve"> </w:t>
      </w:r>
      <w:proofErr w:type="spellStart"/>
      <w:r w:rsidRPr="009B43C2">
        <w:rPr>
          <w:rFonts w:ascii="Arial" w:eastAsia="Times New Roman" w:hAnsi="Arial" w:cs="Arial"/>
          <w:sz w:val="27"/>
          <w:szCs w:val="27"/>
        </w:rPr>
        <w:t>Hamisi</w:t>
      </w:r>
      <w:proofErr w:type="spellEnd"/>
      <w:r w:rsidRPr="009B43C2">
        <w:rPr>
          <w:rFonts w:ascii="Arial" w:eastAsia="Times New Roman" w:hAnsi="Arial" w:cs="Arial"/>
          <w:sz w:val="27"/>
          <w:szCs w:val="27"/>
        </w:rPr>
        <w:t xml:space="preserve"> </w:t>
      </w:r>
      <w:proofErr w:type="spellStart"/>
      <w:r w:rsidRPr="009B43C2">
        <w:rPr>
          <w:rFonts w:ascii="Arial" w:eastAsia="Times New Roman" w:hAnsi="Arial" w:cs="Arial"/>
          <w:sz w:val="27"/>
          <w:szCs w:val="27"/>
        </w:rPr>
        <w:t>Mbelwa</w:t>
      </w:r>
      <w:proofErr w:type="spellEnd"/>
      <w:r w:rsidRPr="009B43C2">
        <w:rPr>
          <w:rFonts w:ascii="Arial" w:eastAsia="Times New Roman" w:hAnsi="Arial" w:cs="Arial"/>
          <w:sz w:val="27"/>
          <w:szCs w:val="27"/>
        </w:rPr>
        <w:t xml:space="preserve"> Department of Accounting, University of Dar </w:t>
      </w:r>
      <w:proofErr w:type="spellStart"/>
      <w:r w:rsidRPr="009B43C2">
        <w:rPr>
          <w:rFonts w:ascii="Arial" w:eastAsia="Times New Roman" w:hAnsi="Arial" w:cs="Arial"/>
          <w:sz w:val="27"/>
          <w:szCs w:val="27"/>
        </w:rPr>
        <w:t>es</w:t>
      </w:r>
      <w:proofErr w:type="spellEnd"/>
      <w:r w:rsidRPr="009B43C2">
        <w:rPr>
          <w:rFonts w:ascii="Arial" w:eastAsia="Times New Roman" w:hAnsi="Arial" w:cs="Arial"/>
          <w:sz w:val="27"/>
          <w:szCs w:val="27"/>
        </w:rPr>
        <w:t xml:space="preserve"> Salaam Business School, Dar </w:t>
      </w:r>
      <w:proofErr w:type="spellStart"/>
      <w:r w:rsidRPr="009B43C2">
        <w:rPr>
          <w:rFonts w:ascii="Arial" w:eastAsia="Times New Roman" w:hAnsi="Arial" w:cs="Arial"/>
          <w:sz w:val="27"/>
          <w:szCs w:val="27"/>
        </w:rPr>
        <w:t>es</w:t>
      </w:r>
      <w:proofErr w:type="spellEnd"/>
      <w:r w:rsidRPr="009B43C2">
        <w:rPr>
          <w:rFonts w:ascii="Arial" w:eastAsia="Times New Roman" w:hAnsi="Arial" w:cs="Arial"/>
          <w:sz w:val="27"/>
          <w:szCs w:val="27"/>
        </w:rPr>
        <w:t xml:space="preserve"> Salaam, United Republic of Tanzania </w:t>
      </w:r>
    </w:p>
    <w:p w:rsidR="009B43C2" w:rsidRDefault="009B43C2" w:rsidP="009B43C2">
      <w:pPr>
        <w:spacing w:before="100" w:beforeAutospacing="1" w:after="0" w:line="240" w:lineRule="auto"/>
        <w:jc w:val="center"/>
        <w:outlineLvl w:val="2"/>
        <w:rPr>
          <w:rFonts w:ascii="Arial" w:eastAsia="Times New Roman" w:hAnsi="Arial" w:cs="Arial"/>
          <w:sz w:val="27"/>
          <w:szCs w:val="27"/>
        </w:rPr>
      </w:pPr>
      <w:proofErr w:type="spellStart"/>
      <w:r w:rsidRPr="009B43C2">
        <w:rPr>
          <w:rFonts w:ascii="Arial" w:eastAsia="Times New Roman" w:hAnsi="Arial" w:cs="Arial"/>
          <w:sz w:val="27"/>
          <w:szCs w:val="27"/>
        </w:rPr>
        <w:t>Pawan</w:t>
      </w:r>
      <w:proofErr w:type="spellEnd"/>
      <w:r w:rsidRPr="009B43C2">
        <w:rPr>
          <w:rFonts w:ascii="Arial" w:eastAsia="Times New Roman" w:hAnsi="Arial" w:cs="Arial"/>
          <w:sz w:val="27"/>
          <w:szCs w:val="27"/>
        </w:rPr>
        <w:t xml:space="preserve"> </w:t>
      </w:r>
      <w:proofErr w:type="spellStart"/>
      <w:r w:rsidRPr="009B43C2">
        <w:rPr>
          <w:rFonts w:ascii="Arial" w:eastAsia="Times New Roman" w:hAnsi="Arial" w:cs="Arial"/>
          <w:sz w:val="27"/>
          <w:szCs w:val="27"/>
        </w:rPr>
        <w:t>Adhikari</w:t>
      </w:r>
      <w:proofErr w:type="spellEnd"/>
      <w:r w:rsidRPr="009B43C2">
        <w:rPr>
          <w:rFonts w:ascii="Arial" w:eastAsia="Times New Roman" w:hAnsi="Arial" w:cs="Arial"/>
          <w:sz w:val="27"/>
          <w:szCs w:val="27"/>
        </w:rPr>
        <w:t xml:space="preserve"> Essex Business School, University of Essex, Colchester</w:t>
      </w:r>
      <w:r>
        <w:rPr>
          <w:rFonts w:ascii="Arial" w:eastAsia="Times New Roman" w:hAnsi="Arial" w:cs="Arial"/>
          <w:sz w:val="27"/>
          <w:szCs w:val="27"/>
        </w:rPr>
        <w:t xml:space="preserve">, UK, </w:t>
      </w:r>
    </w:p>
    <w:p w:rsidR="009B43C2" w:rsidRDefault="009B43C2" w:rsidP="009B43C2">
      <w:pPr>
        <w:spacing w:before="100" w:beforeAutospacing="1" w:after="0" w:line="240" w:lineRule="auto"/>
        <w:jc w:val="center"/>
        <w:outlineLvl w:val="2"/>
        <w:rPr>
          <w:rFonts w:ascii="Arial" w:eastAsia="Times New Roman" w:hAnsi="Arial" w:cs="Arial"/>
          <w:sz w:val="27"/>
          <w:szCs w:val="27"/>
        </w:rPr>
      </w:pPr>
      <w:r w:rsidRPr="009B43C2">
        <w:rPr>
          <w:rFonts w:ascii="Arial" w:eastAsia="Times New Roman" w:hAnsi="Arial" w:cs="Arial"/>
          <w:sz w:val="27"/>
          <w:szCs w:val="27"/>
        </w:rPr>
        <w:t xml:space="preserve"> </w:t>
      </w:r>
      <w:proofErr w:type="spellStart"/>
      <w:r w:rsidRPr="009B43C2">
        <w:rPr>
          <w:rFonts w:ascii="Arial" w:eastAsia="Times New Roman" w:hAnsi="Arial" w:cs="Arial"/>
          <w:sz w:val="27"/>
          <w:szCs w:val="27"/>
        </w:rPr>
        <w:t>Khandakar</w:t>
      </w:r>
      <w:proofErr w:type="spellEnd"/>
      <w:r w:rsidRPr="009B43C2">
        <w:rPr>
          <w:rFonts w:ascii="Arial" w:eastAsia="Times New Roman" w:hAnsi="Arial" w:cs="Arial"/>
          <w:sz w:val="27"/>
          <w:szCs w:val="27"/>
        </w:rPr>
        <w:t xml:space="preserve"> Shahadat Hull University Business School, University of Hull, Hull, UK</w:t>
      </w:r>
    </w:p>
    <w:p w:rsidR="009B43C2" w:rsidRDefault="009B43C2" w:rsidP="009B43C2">
      <w:pPr>
        <w:spacing w:before="100" w:beforeAutospacing="1" w:after="0" w:line="240" w:lineRule="auto"/>
        <w:outlineLvl w:val="2"/>
        <w:rPr>
          <w:rFonts w:ascii="Arial" w:eastAsia="Times New Roman" w:hAnsi="Arial" w:cs="Arial"/>
          <w:sz w:val="27"/>
          <w:szCs w:val="27"/>
        </w:rPr>
      </w:pPr>
      <w:r>
        <w:rPr>
          <w:rFonts w:ascii="Arial" w:eastAsia="Times New Roman" w:hAnsi="Arial" w:cs="Arial"/>
          <w:sz w:val="27"/>
          <w:szCs w:val="27"/>
        </w:rPr>
        <w:t>Abstract</w:t>
      </w:r>
    </w:p>
    <w:p w:rsidR="009B43C2" w:rsidRPr="009B43C2" w:rsidRDefault="009B43C2" w:rsidP="009B43C2">
      <w:pPr>
        <w:spacing w:before="100" w:beforeAutospacing="1" w:after="0" w:line="240" w:lineRule="auto"/>
        <w:outlineLvl w:val="2"/>
        <w:rPr>
          <w:rFonts w:ascii="Arial" w:eastAsia="Times New Roman" w:hAnsi="Arial" w:cs="Arial"/>
          <w:sz w:val="27"/>
          <w:szCs w:val="27"/>
        </w:rPr>
      </w:pPr>
      <w:r w:rsidRPr="009B43C2">
        <w:rPr>
          <w:rFonts w:ascii="Arial" w:eastAsia="Times New Roman" w:hAnsi="Arial" w:cs="Arial"/>
          <w:sz w:val="27"/>
          <w:szCs w:val="27"/>
        </w:rPr>
        <w:t>Purpose</w:t>
      </w:r>
    </w:p>
    <w:p w:rsidR="009B43C2" w:rsidRPr="009B43C2" w:rsidRDefault="009B43C2" w:rsidP="009B43C2">
      <w:pPr>
        <w:spacing w:after="0" w:line="240" w:lineRule="auto"/>
        <w:rPr>
          <w:rFonts w:ascii="Arial" w:eastAsia="Times New Roman" w:hAnsi="Arial" w:cs="Arial"/>
          <w:sz w:val="27"/>
          <w:szCs w:val="27"/>
        </w:rPr>
      </w:pPr>
      <w:r w:rsidRPr="009B43C2">
        <w:rPr>
          <w:rFonts w:ascii="Arial" w:eastAsia="Times New Roman" w:hAnsi="Arial" w:cs="Arial"/>
          <w:sz w:val="27"/>
          <w:szCs w:val="27"/>
        </w:rPr>
        <w:t>The purpose of this paper is to investigate the factors that have resulted in the effective implementation of accrual accounting reforms in the Central Government of Tanzania.</w:t>
      </w:r>
    </w:p>
    <w:p w:rsidR="009B43C2" w:rsidRPr="009B43C2" w:rsidRDefault="009B43C2" w:rsidP="009B43C2">
      <w:pPr>
        <w:spacing w:before="100" w:beforeAutospacing="1" w:after="0" w:line="240" w:lineRule="auto"/>
        <w:outlineLvl w:val="2"/>
        <w:rPr>
          <w:rFonts w:ascii="Arial" w:eastAsia="Times New Roman" w:hAnsi="Arial" w:cs="Arial"/>
          <w:sz w:val="27"/>
          <w:szCs w:val="27"/>
        </w:rPr>
      </w:pPr>
      <w:r w:rsidRPr="009B43C2">
        <w:rPr>
          <w:rFonts w:ascii="Arial" w:eastAsia="Times New Roman" w:hAnsi="Arial" w:cs="Arial"/>
          <w:sz w:val="27"/>
          <w:szCs w:val="27"/>
        </w:rPr>
        <w:t>Design/methodology/approach</w:t>
      </w:r>
    </w:p>
    <w:p w:rsidR="009B43C2" w:rsidRPr="009B43C2" w:rsidRDefault="009B43C2" w:rsidP="009B43C2">
      <w:pPr>
        <w:spacing w:after="0" w:line="240" w:lineRule="auto"/>
        <w:rPr>
          <w:rFonts w:ascii="Arial" w:eastAsia="Times New Roman" w:hAnsi="Arial" w:cs="Arial"/>
          <w:sz w:val="27"/>
          <w:szCs w:val="27"/>
        </w:rPr>
      </w:pPr>
      <w:r w:rsidRPr="009B43C2">
        <w:rPr>
          <w:rFonts w:ascii="Arial" w:eastAsia="Times New Roman" w:hAnsi="Arial" w:cs="Arial"/>
          <w:sz w:val="27"/>
          <w:szCs w:val="27"/>
        </w:rPr>
        <w:t xml:space="preserve">The paper relies on the ideas of institutional theory and some aspects of decision-usefulness so as to delineate the external pressures enforcing the Government of Tanzania to embrace accrual accounting and the factors complicating its implementation at </w:t>
      </w:r>
      <w:proofErr w:type="spellStart"/>
      <w:r w:rsidRPr="009B43C2">
        <w:rPr>
          <w:rFonts w:ascii="Arial" w:eastAsia="Times New Roman" w:hAnsi="Arial" w:cs="Arial"/>
          <w:sz w:val="27"/>
          <w:szCs w:val="27"/>
        </w:rPr>
        <w:t>organisational</w:t>
      </w:r>
      <w:proofErr w:type="spellEnd"/>
      <w:r w:rsidRPr="009B43C2">
        <w:rPr>
          <w:rFonts w:ascii="Arial" w:eastAsia="Times New Roman" w:hAnsi="Arial" w:cs="Arial"/>
          <w:sz w:val="27"/>
          <w:szCs w:val="27"/>
        </w:rPr>
        <w:t xml:space="preserve"> level (within government entities). The authors draw on quantitative techniques and the explanatory and cross-sectional survey research strategies and methods for data analysis.</w:t>
      </w:r>
    </w:p>
    <w:p w:rsidR="009B43C2" w:rsidRPr="009B43C2" w:rsidRDefault="009B43C2" w:rsidP="009B43C2">
      <w:pPr>
        <w:spacing w:before="100" w:beforeAutospacing="1" w:after="0" w:line="240" w:lineRule="auto"/>
        <w:outlineLvl w:val="2"/>
        <w:rPr>
          <w:rFonts w:ascii="Arial" w:eastAsia="Times New Roman" w:hAnsi="Arial" w:cs="Arial"/>
          <w:sz w:val="27"/>
          <w:szCs w:val="27"/>
        </w:rPr>
      </w:pPr>
      <w:r w:rsidRPr="009B43C2">
        <w:rPr>
          <w:rFonts w:ascii="Arial" w:eastAsia="Times New Roman" w:hAnsi="Arial" w:cs="Arial"/>
          <w:sz w:val="27"/>
          <w:szCs w:val="27"/>
        </w:rPr>
        <w:t>Findings</w:t>
      </w:r>
    </w:p>
    <w:p w:rsidR="009B43C2" w:rsidRPr="009B43C2" w:rsidRDefault="009B43C2" w:rsidP="009B43C2">
      <w:pPr>
        <w:spacing w:after="0" w:line="240" w:lineRule="auto"/>
        <w:rPr>
          <w:rFonts w:ascii="Arial" w:eastAsia="Times New Roman" w:hAnsi="Arial" w:cs="Arial"/>
          <w:sz w:val="27"/>
          <w:szCs w:val="27"/>
        </w:rPr>
      </w:pPr>
      <w:r w:rsidRPr="009B43C2">
        <w:rPr>
          <w:rFonts w:ascii="Arial" w:eastAsia="Times New Roman" w:hAnsi="Arial" w:cs="Arial"/>
          <w:sz w:val="27"/>
          <w:szCs w:val="27"/>
        </w:rPr>
        <w:t xml:space="preserve">Our findings suggest that the coercive pressures from donors and auditors along with the normative pressures surfaced by the training of employees generate a significant impact on designing the effective administrative model of accrual accounting. In a lesser extent, pressures from the National Board of Accountants and Auditors and cultural factors are positively correlated to the implementation of accrual accounting in the Tanzanian context. Of the factors </w:t>
      </w:r>
      <w:r w:rsidRPr="009B43C2">
        <w:rPr>
          <w:rFonts w:ascii="Arial" w:eastAsia="Times New Roman" w:hAnsi="Arial" w:cs="Arial"/>
          <w:sz w:val="27"/>
          <w:szCs w:val="27"/>
        </w:rPr>
        <w:lastRenderedPageBreak/>
        <w:t xml:space="preserve">the authors examined, the management changes are proved to be least effective. Unawareness of the key stakeholders has caused weak political and regulatory commitments. Accrual accounting implementation is further exacerbated by inadequate technical and personnel competence. Ultimately, the implementation of the accrual accounting has increased significant managerial accountability though a major segment of such </w:t>
      </w:r>
      <w:proofErr w:type="spellStart"/>
      <w:r w:rsidRPr="009B43C2">
        <w:rPr>
          <w:rFonts w:ascii="Arial" w:eastAsia="Times New Roman" w:hAnsi="Arial" w:cs="Arial"/>
          <w:sz w:val="27"/>
          <w:szCs w:val="27"/>
        </w:rPr>
        <w:t>behaviour</w:t>
      </w:r>
      <w:proofErr w:type="spellEnd"/>
      <w:r w:rsidRPr="009B43C2">
        <w:rPr>
          <w:rFonts w:ascii="Arial" w:eastAsia="Times New Roman" w:hAnsi="Arial" w:cs="Arial"/>
          <w:sz w:val="27"/>
          <w:szCs w:val="27"/>
        </w:rPr>
        <w:t xml:space="preserve"> is unexplained by the factors the authors employed in the study.</w:t>
      </w:r>
    </w:p>
    <w:p w:rsidR="009B43C2" w:rsidRPr="009B43C2" w:rsidRDefault="009B43C2" w:rsidP="009B43C2">
      <w:pPr>
        <w:spacing w:before="100" w:beforeAutospacing="1" w:after="0" w:line="240" w:lineRule="auto"/>
        <w:outlineLvl w:val="2"/>
        <w:rPr>
          <w:rFonts w:ascii="Arial" w:eastAsia="Times New Roman" w:hAnsi="Arial" w:cs="Arial"/>
          <w:sz w:val="27"/>
          <w:szCs w:val="27"/>
        </w:rPr>
      </w:pPr>
      <w:r w:rsidRPr="009B43C2">
        <w:rPr>
          <w:rFonts w:ascii="Arial" w:eastAsia="Times New Roman" w:hAnsi="Arial" w:cs="Arial"/>
          <w:sz w:val="27"/>
          <w:szCs w:val="27"/>
        </w:rPr>
        <w:t>Practical implications</w:t>
      </w:r>
    </w:p>
    <w:p w:rsidR="009B43C2" w:rsidRPr="009B43C2" w:rsidRDefault="009B43C2" w:rsidP="009B43C2">
      <w:pPr>
        <w:spacing w:after="0" w:line="240" w:lineRule="auto"/>
        <w:rPr>
          <w:rFonts w:ascii="Arial" w:eastAsia="Times New Roman" w:hAnsi="Arial" w:cs="Arial"/>
          <w:sz w:val="27"/>
          <w:szCs w:val="27"/>
        </w:rPr>
      </w:pPr>
      <w:r w:rsidRPr="009B43C2">
        <w:rPr>
          <w:rFonts w:ascii="Arial" w:eastAsia="Times New Roman" w:hAnsi="Arial" w:cs="Arial"/>
          <w:sz w:val="27"/>
          <w:szCs w:val="27"/>
        </w:rPr>
        <w:t>The effective implementation of accrual accounting relies on improvements in cultural and human-related issues. What is important to understand is that accrual accounting is more of a management reform incorporating changes in broader aspects of institutional and accountability mechanisms, rather than just an adoption of particular accounting technologies. Without such broader changes, accrual accounting reforms can be detrimental providing the technocrats and government officials with a space for manipulating financial information, Tanzania serving as an example.</w:t>
      </w:r>
    </w:p>
    <w:p w:rsidR="009B43C2" w:rsidRPr="009B43C2" w:rsidRDefault="009B43C2" w:rsidP="009B43C2">
      <w:pPr>
        <w:spacing w:before="100" w:beforeAutospacing="1" w:after="0" w:line="240" w:lineRule="auto"/>
        <w:outlineLvl w:val="2"/>
        <w:rPr>
          <w:rFonts w:ascii="Arial" w:eastAsia="Times New Roman" w:hAnsi="Arial" w:cs="Arial"/>
          <w:sz w:val="27"/>
          <w:szCs w:val="27"/>
        </w:rPr>
      </w:pPr>
      <w:r w:rsidRPr="009B43C2">
        <w:rPr>
          <w:rFonts w:ascii="Arial" w:eastAsia="Times New Roman" w:hAnsi="Arial" w:cs="Arial"/>
          <w:sz w:val="27"/>
          <w:szCs w:val="27"/>
        </w:rPr>
        <w:t>Originality/value</w:t>
      </w:r>
    </w:p>
    <w:p w:rsidR="009B43C2" w:rsidRPr="009B43C2" w:rsidRDefault="009B43C2" w:rsidP="009B43C2">
      <w:pPr>
        <w:spacing w:after="0" w:line="240" w:lineRule="auto"/>
        <w:rPr>
          <w:rFonts w:ascii="Arial" w:eastAsia="Times New Roman" w:hAnsi="Arial" w:cs="Arial"/>
          <w:sz w:val="27"/>
          <w:szCs w:val="27"/>
        </w:rPr>
      </w:pPr>
      <w:r w:rsidRPr="009B43C2">
        <w:rPr>
          <w:rFonts w:ascii="Arial" w:eastAsia="Times New Roman" w:hAnsi="Arial" w:cs="Arial"/>
          <w:sz w:val="27"/>
          <w:szCs w:val="27"/>
        </w:rPr>
        <w:t xml:space="preserve">The study highlights the case of an emerging economy in which accrual accounting is actually in effect and has impacted on managerial accountability, but is struggling to engender intended results and outcomes at </w:t>
      </w:r>
      <w:proofErr w:type="spellStart"/>
      <w:r w:rsidRPr="009B43C2">
        <w:rPr>
          <w:rFonts w:ascii="Arial" w:eastAsia="Times New Roman" w:hAnsi="Arial" w:cs="Arial"/>
          <w:sz w:val="27"/>
          <w:szCs w:val="27"/>
        </w:rPr>
        <w:t>organisational</w:t>
      </w:r>
      <w:proofErr w:type="spellEnd"/>
      <w:r w:rsidRPr="009B43C2">
        <w:rPr>
          <w:rFonts w:ascii="Arial" w:eastAsia="Times New Roman" w:hAnsi="Arial" w:cs="Arial"/>
          <w:sz w:val="27"/>
          <w:szCs w:val="27"/>
        </w:rPr>
        <w:t xml:space="preserve"> level.</w:t>
      </w:r>
    </w:p>
    <w:p w:rsidR="0041770A" w:rsidRDefault="0020664F"/>
    <w:sectPr w:rsidR="004177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3C2"/>
    <w:rsid w:val="0020664F"/>
    <w:rsid w:val="004E31E1"/>
    <w:rsid w:val="00723F88"/>
    <w:rsid w:val="009B43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66EE33-531E-473E-AEC3-1C8F5BB24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0664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310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emerald.com/insight/content/doi/10.1108/JAEE-01-2018-0005/full/html?fullSc=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467</Words>
  <Characters>2662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2019-07-17T08:24:00Z</dcterms:created>
  <dcterms:modified xsi:type="dcterms:W3CDTF">2019-07-17T08:35:00Z</dcterms:modified>
</cp:coreProperties>
</file>