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7E44" w:rsidRPr="00A62E73" w:rsidRDefault="00A62E73" w:rsidP="00A62E73">
      <w:r>
        <w:rPr>
          <w:rFonts w:ascii="Arial" w:hAnsi="Arial" w:cs="Arial"/>
          <w:b/>
          <w:bCs/>
          <w:color w:val="000000"/>
          <w:sz w:val="20"/>
          <w:szCs w:val="20"/>
        </w:rPr>
        <w:t>Abstract:</w:t>
      </w:r>
      <w:r>
        <w:rPr>
          <w:rFonts w:ascii="Arial" w:hAnsi="Arial" w:cs="Arial"/>
          <w:color w:val="000000"/>
          <w:sz w:val="20"/>
          <w:szCs w:val="20"/>
        </w:rPr>
        <w:t> This study analyzed whether or not there is any correlation between the level of electronic readiness (e-readiness) and corruption in countries. The study was guided by the theory of network society, the Unified Theory of Acceptance and Use of Technology (UTAUT) as well as Technology Acceptance Model (TAM). The study opted for secondary data from 147 countries of the world for both measures of e-readiness (Global Information Technology) and corruption perception index (from Transparency International) for 2014. Statistical analysis was done using correlation and regression analyses. Four sub measures for e-readiness included networked readiness index, environment readiness index, society readiness index, and usage readiness index (independent variables). Results from the study showed there is correlation between the two variables. Based on the objective of this study, it is concluded that the higher the e-readiness, the low the corruption. This implies that one way of combating corruption is to attain good e-readiness index.</w:t>
      </w:r>
    </w:p>
    <w:sectPr w:rsidR="007E7E44" w:rsidRPr="00A62E73" w:rsidSect="007E7E4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4269A5"/>
    <w:rsid w:val="00214CE3"/>
    <w:rsid w:val="00402D5D"/>
    <w:rsid w:val="004269A5"/>
    <w:rsid w:val="007E7E44"/>
    <w:rsid w:val="00A62E73"/>
    <w:rsid w:val="00D24CC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ind w:left="86"/>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9A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156</Words>
  <Characters>895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FFFFFF</dc:creator>
  <cp:lastModifiedBy>FFFFFF</cp:lastModifiedBy>
  <cp:revision>2</cp:revision>
  <dcterms:created xsi:type="dcterms:W3CDTF">2018-11-13T02:22:00Z</dcterms:created>
  <dcterms:modified xsi:type="dcterms:W3CDTF">2018-11-13T02:22:00Z</dcterms:modified>
</cp:coreProperties>
</file>