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4175CD" w14:textId="77777777" w:rsidR="008E7D24" w:rsidRPr="00176ECE" w:rsidRDefault="008E7D24" w:rsidP="008E7D24">
      <w:pPr>
        <w:pStyle w:val="Default"/>
        <w:rPr>
          <w:rFonts w:ascii="Times New Roman" w:hAnsi="Times New Roman" w:cs="Times New Roman"/>
        </w:rPr>
      </w:pPr>
    </w:p>
    <w:p w14:paraId="1E90D5BF" w14:textId="77777777" w:rsidR="008E7D24" w:rsidRPr="00176ECE" w:rsidRDefault="008E7D24" w:rsidP="008E7D24">
      <w:pPr>
        <w:pStyle w:val="Default"/>
        <w:rPr>
          <w:rFonts w:ascii="Times New Roman" w:hAnsi="Times New Roman" w:cs="Times New Roman"/>
        </w:rPr>
      </w:pPr>
    </w:p>
    <w:p w14:paraId="6C33F431" w14:textId="4F2829DF" w:rsidR="008E7D24" w:rsidRPr="00176ECE" w:rsidRDefault="008E7D24" w:rsidP="008E7D24">
      <w:pPr>
        <w:pStyle w:val="Default"/>
        <w:spacing w:after="220" w:line="211" w:lineRule="atLeast"/>
        <w:jc w:val="both"/>
        <w:rPr>
          <w:rFonts w:ascii="Times New Roman" w:hAnsi="Times New Roman" w:cs="Times New Roman"/>
        </w:rPr>
      </w:pPr>
      <w:r w:rsidRPr="00176ECE">
        <w:rPr>
          <w:rFonts w:ascii="Times New Roman" w:hAnsi="Times New Roman" w:cs="Times New Roman"/>
        </w:rPr>
        <w:t>RADIAL CATEGORIES IN SYNTAX:</w:t>
      </w:r>
      <w:r w:rsidRPr="00176ECE">
        <w:rPr>
          <w:rFonts w:ascii="Times New Roman" w:hAnsi="Times New Roman" w:cs="Times New Roman"/>
        </w:rPr>
        <w:t xml:space="preserve"> </w:t>
      </w:r>
      <w:r w:rsidRPr="00176ECE">
        <w:rPr>
          <w:rFonts w:ascii="Times New Roman" w:hAnsi="Times New Roman" w:cs="Times New Roman"/>
        </w:rPr>
        <w:t>NON-RESUMPTIVE LEFT DISLOCATION IN ARUSA</w:t>
      </w:r>
    </w:p>
    <w:p w14:paraId="5028E86C" w14:textId="742C8D41" w:rsidR="008E7D24" w:rsidRPr="00176ECE" w:rsidRDefault="008E7D24" w:rsidP="008E7D24">
      <w:pPr>
        <w:pStyle w:val="Default"/>
        <w:spacing w:after="220" w:line="211" w:lineRule="atLeast"/>
        <w:jc w:val="both"/>
        <w:rPr>
          <w:rFonts w:ascii="Times New Roman" w:hAnsi="Times New Roman" w:cs="Times New Roman"/>
        </w:rPr>
      </w:pPr>
      <w:r w:rsidRPr="00176ECE">
        <w:rPr>
          <w:rStyle w:val="A5"/>
          <w:rFonts w:ascii="Times New Roman" w:hAnsi="Times New Roman" w:cs="Times New Roman"/>
        </w:rPr>
        <w:t>Abstract</w:t>
      </w:r>
    </w:p>
    <w:p w14:paraId="446DEBDD" w14:textId="2A1F8A26" w:rsidR="00D35283" w:rsidRPr="00176ECE" w:rsidRDefault="008E7D24" w:rsidP="008E7D24">
      <w:pPr>
        <w:jc w:val="both"/>
        <w:rPr>
          <w:rFonts w:ascii="Times New Roman" w:hAnsi="Times New Roman" w:cs="Times New Roman"/>
          <w:sz w:val="24"/>
          <w:szCs w:val="24"/>
        </w:rPr>
      </w:pPr>
      <w:r w:rsidRPr="00176ECE">
        <w:rPr>
          <w:rFonts w:ascii="Times New Roman" w:hAnsi="Times New Roman" w:cs="Times New Roman"/>
          <w:sz w:val="24"/>
          <w:szCs w:val="24"/>
        </w:rPr>
        <w:t>This paper discusses the phenomenon of L(eft) D(</w:t>
      </w:r>
      <w:proofErr w:type="spellStart"/>
      <w:r w:rsidRPr="00176ECE">
        <w:rPr>
          <w:rFonts w:ascii="Times New Roman" w:hAnsi="Times New Roman" w:cs="Times New Roman"/>
          <w:sz w:val="24"/>
          <w:szCs w:val="24"/>
        </w:rPr>
        <w:t>islocation</w:t>
      </w:r>
      <w:proofErr w:type="spellEnd"/>
      <w:r w:rsidRPr="00176ECE">
        <w:rPr>
          <w:rFonts w:ascii="Times New Roman" w:hAnsi="Times New Roman" w:cs="Times New Roman"/>
          <w:sz w:val="24"/>
          <w:szCs w:val="24"/>
        </w:rPr>
        <w:t xml:space="preserve">) in </w:t>
      </w:r>
      <w:proofErr w:type="spellStart"/>
      <w:r w:rsidRPr="00176ECE">
        <w:rPr>
          <w:rFonts w:ascii="Times New Roman" w:hAnsi="Times New Roman" w:cs="Times New Roman"/>
          <w:sz w:val="24"/>
          <w:szCs w:val="24"/>
        </w:rPr>
        <w:t>Arusa</w:t>
      </w:r>
      <w:proofErr w:type="spellEnd"/>
      <w:r w:rsidRPr="00176ECE">
        <w:rPr>
          <w:rFonts w:ascii="Times New Roman" w:hAnsi="Times New Roman" w:cs="Times New Roman"/>
          <w:sz w:val="24"/>
          <w:szCs w:val="24"/>
        </w:rPr>
        <w:t xml:space="preserve"> – a southern variety of Maasai – and, in particular, the presence of resumption in LD construc</w:t>
      </w:r>
      <w:r w:rsidRPr="00176ECE">
        <w:rPr>
          <w:rFonts w:ascii="Times New Roman" w:hAnsi="Times New Roman" w:cs="Times New Roman"/>
          <w:sz w:val="24"/>
          <w:szCs w:val="24"/>
        </w:rPr>
        <w:softHyphen/>
        <w:t xml:space="preserve">tions. With respect to resumption, </w:t>
      </w:r>
      <w:proofErr w:type="spellStart"/>
      <w:r w:rsidRPr="00176ECE">
        <w:rPr>
          <w:rFonts w:ascii="Times New Roman" w:hAnsi="Times New Roman" w:cs="Times New Roman"/>
          <w:sz w:val="24"/>
          <w:szCs w:val="24"/>
        </w:rPr>
        <w:t>Arusa</w:t>
      </w:r>
      <w:proofErr w:type="spellEnd"/>
      <w:r w:rsidRPr="00176ECE">
        <w:rPr>
          <w:rFonts w:ascii="Times New Roman" w:hAnsi="Times New Roman" w:cs="Times New Roman"/>
          <w:sz w:val="24"/>
          <w:szCs w:val="24"/>
        </w:rPr>
        <w:t xml:space="preserve"> allows for two types of LD. In most cases, a non-</w:t>
      </w:r>
      <w:proofErr w:type="spellStart"/>
      <w:r w:rsidRPr="00176ECE">
        <w:rPr>
          <w:rFonts w:ascii="Times New Roman" w:hAnsi="Times New Roman" w:cs="Times New Roman"/>
          <w:sz w:val="24"/>
          <w:szCs w:val="24"/>
        </w:rPr>
        <w:t>resumptive</w:t>
      </w:r>
      <w:proofErr w:type="spellEnd"/>
      <w:r w:rsidRPr="00176ECE">
        <w:rPr>
          <w:rFonts w:ascii="Times New Roman" w:hAnsi="Times New Roman" w:cs="Times New Roman"/>
          <w:sz w:val="24"/>
          <w:szCs w:val="24"/>
        </w:rPr>
        <w:t xml:space="preserve"> type of LD is used. This variant is obligatory if a possible </w:t>
      </w:r>
      <w:proofErr w:type="spellStart"/>
      <w:r w:rsidRPr="00176ECE">
        <w:rPr>
          <w:rFonts w:ascii="Times New Roman" w:hAnsi="Times New Roman" w:cs="Times New Roman"/>
          <w:sz w:val="24"/>
          <w:szCs w:val="24"/>
        </w:rPr>
        <w:t>resumptive</w:t>
      </w:r>
      <w:proofErr w:type="spellEnd"/>
      <w:r w:rsidRPr="00176ECE">
        <w:rPr>
          <w:rFonts w:ascii="Times New Roman" w:hAnsi="Times New Roman" w:cs="Times New Roman"/>
          <w:sz w:val="24"/>
          <w:szCs w:val="24"/>
        </w:rPr>
        <w:t xml:space="preserve"> element refers to an argument of the verb of the matrix clause (i.e. subject, direct and indirect objects and applied objects). The </w:t>
      </w:r>
      <w:proofErr w:type="spellStart"/>
      <w:r w:rsidRPr="00176ECE">
        <w:rPr>
          <w:rFonts w:ascii="Times New Roman" w:hAnsi="Times New Roman" w:cs="Times New Roman"/>
          <w:sz w:val="24"/>
          <w:szCs w:val="24"/>
        </w:rPr>
        <w:t>resumptive</w:t>
      </w:r>
      <w:proofErr w:type="spellEnd"/>
      <w:r w:rsidRPr="00176ECE">
        <w:rPr>
          <w:rFonts w:ascii="Times New Roman" w:hAnsi="Times New Roman" w:cs="Times New Roman"/>
          <w:sz w:val="24"/>
          <w:szCs w:val="24"/>
        </w:rPr>
        <w:t xml:space="preserve"> type, which is significantly less frequent, appears only if the dislocate corresponds to an adjunct in the matrix clause. The pervasiveness of the non-</w:t>
      </w:r>
      <w:proofErr w:type="spellStart"/>
      <w:r w:rsidRPr="00176ECE">
        <w:rPr>
          <w:rFonts w:ascii="Times New Roman" w:hAnsi="Times New Roman" w:cs="Times New Roman"/>
          <w:sz w:val="24"/>
          <w:szCs w:val="24"/>
        </w:rPr>
        <w:t>resumptive</w:t>
      </w:r>
      <w:proofErr w:type="spellEnd"/>
      <w:r w:rsidRPr="00176ECE">
        <w:rPr>
          <w:rFonts w:ascii="Times New Roman" w:hAnsi="Times New Roman" w:cs="Times New Roman"/>
          <w:sz w:val="24"/>
          <w:szCs w:val="24"/>
        </w:rPr>
        <w:t xml:space="preserve"> LD stems from the ungrammaticality of overt independent pronominal arguments in most positions in </w:t>
      </w:r>
      <w:proofErr w:type="spellStart"/>
      <w:r w:rsidRPr="00176ECE">
        <w:rPr>
          <w:rFonts w:ascii="Times New Roman" w:hAnsi="Times New Roman" w:cs="Times New Roman"/>
          <w:sz w:val="24"/>
          <w:szCs w:val="24"/>
        </w:rPr>
        <w:t>Arusa</w:t>
      </w:r>
      <w:proofErr w:type="spellEnd"/>
      <w:r w:rsidRPr="00176ECE">
        <w:rPr>
          <w:rFonts w:ascii="Times New Roman" w:hAnsi="Times New Roman" w:cs="Times New Roman"/>
          <w:sz w:val="24"/>
          <w:szCs w:val="24"/>
        </w:rPr>
        <w:t>. As a result, resump</w:t>
      </w:r>
      <w:r w:rsidRPr="00176ECE">
        <w:rPr>
          <w:rFonts w:ascii="Times New Roman" w:hAnsi="Times New Roman" w:cs="Times New Roman"/>
          <w:sz w:val="24"/>
          <w:szCs w:val="24"/>
        </w:rPr>
        <w:softHyphen/>
        <w:t>tion cannot be viewed as a decisive feature for the classification of a construction as LD, and its lack as a sufficient reason to propose a different category. Rather, LD should be viewed as a radial category containing both constructions that match the LD prototype and structures that are more remote from the exemplar.</w:t>
      </w:r>
    </w:p>
    <w:p w14:paraId="1703AB40" w14:textId="74EE85EA" w:rsidR="00176ECE" w:rsidRPr="00176ECE" w:rsidRDefault="00176ECE" w:rsidP="00176ECE">
      <w:pPr>
        <w:pStyle w:val="Default"/>
        <w:rPr>
          <w:rFonts w:ascii="Times New Roman" w:hAnsi="Times New Roman" w:cs="Times New Roman"/>
        </w:rPr>
      </w:pPr>
      <w:proofErr w:type="spellStart"/>
      <w:r w:rsidRPr="00176ECE">
        <w:rPr>
          <w:rFonts w:ascii="Times New Roman" w:hAnsi="Times New Roman" w:cs="Times New Roman"/>
        </w:rPr>
        <w:t>Andrason</w:t>
      </w:r>
      <w:proofErr w:type="spellEnd"/>
      <w:r w:rsidRPr="00176ECE">
        <w:rPr>
          <w:rFonts w:ascii="Times New Roman" w:hAnsi="Times New Roman" w:cs="Times New Roman"/>
        </w:rPr>
        <w:t>, A. &amp; Karani, M. 2017. Radial Categories in Syntax: Non-</w:t>
      </w:r>
      <w:proofErr w:type="spellStart"/>
      <w:r w:rsidRPr="00176ECE">
        <w:rPr>
          <w:rFonts w:ascii="Times New Roman" w:hAnsi="Times New Roman" w:cs="Times New Roman"/>
        </w:rPr>
        <w:t>resumptive</w:t>
      </w:r>
      <w:proofErr w:type="spellEnd"/>
      <w:r w:rsidRPr="00176ECE">
        <w:rPr>
          <w:rFonts w:ascii="Times New Roman" w:hAnsi="Times New Roman" w:cs="Times New Roman"/>
        </w:rPr>
        <w:t xml:space="preserve"> Left Dislocation in </w:t>
      </w:r>
      <w:proofErr w:type="spellStart"/>
      <w:r w:rsidRPr="00176ECE">
        <w:rPr>
          <w:rFonts w:ascii="Times New Roman" w:hAnsi="Times New Roman" w:cs="Times New Roman"/>
        </w:rPr>
        <w:t>Arusa</w:t>
      </w:r>
      <w:proofErr w:type="spellEnd"/>
      <w:r w:rsidRPr="00176ECE">
        <w:rPr>
          <w:rFonts w:ascii="Times New Roman" w:hAnsi="Times New Roman" w:cs="Times New Roman"/>
        </w:rPr>
        <w:t xml:space="preserve">. </w:t>
      </w:r>
      <w:proofErr w:type="spellStart"/>
      <w:r w:rsidRPr="00176ECE">
        <w:rPr>
          <w:rStyle w:val="A0"/>
          <w:rFonts w:ascii="Times New Roman" w:hAnsi="Times New Roman" w:cs="Times New Roman"/>
          <w:i/>
          <w:iCs/>
          <w:sz w:val="24"/>
          <w:szCs w:val="24"/>
        </w:rPr>
        <w:t>Studia</w:t>
      </w:r>
      <w:proofErr w:type="spellEnd"/>
      <w:r w:rsidRPr="00176ECE">
        <w:rPr>
          <w:rStyle w:val="A0"/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76ECE">
        <w:rPr>
          <w:rStyle w:val="A0"/>
          <w:rFonts w:ascii="Times New Roman" w:hAnsi="Times New Roman" w:cs="Times New Roman"/>
          <w:i/>
          <w:iCs/>
          <w:sz w:val="24"/>
          <w:szCs w:val="24"/>
        </w:rPr>
        <w:t>Linguistica</w:t>
      </w:r>
      <w:proofErr w:type="spellEnd"/>
      <w:r w:rsidRPr="00176ECE">
        <w:rPr>
          <w:rStyle w:val="A0"/>
          <w:rFonts w:ascii="Times New Roman" w:hAnsi="Times New Roman" w:cs="Times New Roman"/>
          <w:i/>
          <w:iCs/>
          <w:sz w:val="24"/>
          <w:szCs w:val="24"/>
        </w:rPr>
        <w:t xml:space="preserve"> Universitatis </w:t>
      </w:r>
      <w:proofErr w:type="spellStart"/>
      <w:r w:rsidRPr="00176ECE">
        <w:rPr>
          <w:rStyle w:val="A0"/>
          <w:rFonts w:ascii="Times New Roman" w:hAnsi="Times New Roman" w:cs="Times New Roman"/>
          <w:i/>
          <w:iCs/>
          <w:sz w:val="24"/>
          <w:szCs w:val="24"/>
        </w:rPr>
        <w:t>Iagellonicae</w:t>
      </w:r>
      <w:proofErr w:type="spellEnd"/>
      <w:r w:rsidRPr="00176ECE">
        <w:rPr>
          <w:rStyle w:val="A0"/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76ECE">
        <w:rPr>
          <w:rStyle w:val="A0"/>
          <w:rFonts w:ascii="Times New Roman" w:hAnsi="Times New Roman" w:cs="Times New Roman"/>
          <w:i/>
          <w:iCs/>
          <w:sz w:val="24"/>
          <w:szCs w:val="24"/>
        </w:rPr>
        <w:t>Crac</w:t>
      </w:r>
      <w:bookmarkStart w:id="0" w:name="_GoBack"/>
      <w:bookmarkEnd w:id="0"/>
      <w:r w:rsidRPr="00176ECE">
        <w:rPr>
          <w:rStyle w:val="A0"/>
          <w:rFonts w:ascii="Times New Roman" w:hAnsi="Times New Roman" w:cs="Times New Roman"/>
          <w:i/>
          <w:iCs/>
          <w:sz w:val="24"/>
          <w:szCs w:val="24"/>
        </w:rPr>
        <w:t>oviensis</w:t>
      </w:r>
      <w:proofErr w:type="spellEnd"/>
      <w:r w:rsidRPr="00176ECE">
        <w:rPr>
          <w:rStyle w:val="A0"/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76ECE">
        <w:rPr>
          <w:rStyle w:val="A0"/>
          <w:rFonts w:ascii="Times New Roman" w:hAnsi="Times New Roman" w:cs="Times New Roman"/>
          <w:sz w:val="24"/>
          <w:szCs w:val="24"/>
        </w:rPr>
        <w:t xml:space="preserve">Vol. </w:t>
      </w:r>
      <w:r w:rsidRPr="00176ECE">
        <w:rPr>
          <w:rStyle w:val="A0"/>
          <w:rFonts w:ascii="Times New Roman" w:hAnsi="Times New Roman" w:cs="Times New Roman"/>
          <w:sz w:val="24"/>
          <w:szCs w:val="24"/>
        </w:rPr>
        <w:t xml:space="preserve">134 </w:t>
      </w:r>
      <w:r w:rsidRPr="00176ECE">
        <w:rPr>
          <w:rStyle w:val="A0"/>
          <w:rFonts w:ascii="Times New Roman" w:hAnsi="Times New Roman" w:cs="Times New Roman"/>
          <w:sz w:val="24"/>
          <w:szCs w:val="24"/>
        </w:rPr>
        <w:t>pp.</w:t>
      </w:r>
      <w:r w:rsidRPr="00176ECE">
        <w:rPr>
          <w:rStyle w:val="A0"/>
          <w:rFonts w:ascii="Times New Roman" w:hAnsi="Times New Roman" w:cs="Times New Roman"/>
          <w:sz w:val="24"/>
          <w:szCs w:val="24"/>
        </w:rPr>
        <w:t xml:space="preserve"> 205–218</w:t>
      </w:r>
      <w:r w:rsidRPr="00176ECE">
        <w:rPr>
          <w:rStyle w:val="A0"/>
          <w:rFonts w:ascii="Times New Roman" w:hAnsi="Times New Roman" w:cs="Times New Roman"/>
          <w:sz w:val="24"/>
          <w:szCs w:val="24"/>
        </w:rPr>
        <w:t xml:space="preserve">. </w:t>
      </w:r>
      <w:r w:rsidRPr="00176ECE">
        <w:rPr>
          <w:rStyle w:val="A0"/>
          <w:rFonts w:ascii="Times New Roman" w:hAnsi="Times New Roman" w:cs="Times New Roman"/>
          <w:sz w:val="24"/>
          <w:szCs w:val="24"/>
        </w:rPr>
        <w:t>doi:10.4467/20834624SL.17.014.7088</w:t>
      </w:r>
    </w:p>
    <w:sectPr w:rsidR="00176ECE" w:rsidRPr="00176EC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inion Pro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D24"/>
    <w:rsid w:val="00176ECE"/>
    <w:rsid w:val="008E7D24"/>
    <w:rsid w:val="00D3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137048"/>
  <w15:chartTrackingRefBased/>
  <w15:docId w15:val="{90B190E6-84AF-4473-87A4-5412DFC7A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E7D24"/>
    <w:pPr>
      <w:autoSpaceDE w:val="0"/>
      <w:autoSpaceDN w:val="0"/>
      <w:adjustRightInd w:val="0"/>
      <w:spacing w:after="0" w:line="240" w:lineRule="auto"/>
    </w:pPr>
    <w:rPr>
      <w:rFonts w:ascii="Myriad Pro" w:hAnsi="Myriad Pro" w:cs="Myriad Pro"/>
      <w:color w:val="000000"/>
      <w:sz w:val="24"/>
      <w:szCs w:val="24"/>
      <w:lang w:val="en-US"/>
    </w:rPr>
  </w:style>
  <w:style w:type="character" w:customStyle="1" w:styleId="A4">
    <w:name w:val="A4"/>
    <w:uiPriority w:val="99"/>
    <w:rsid w:val="008E7D24"/>
    <w:rPr>
      <w:rFonts w:ascii="Minion Pro" w:hAnsi="Minion Pro" w:cs="Minion Pro"/>
      <w:color w:val="000000"/>
      <w:sz w:val="20"/>
      <w:szCs w:val="20"/>
    </w:rPr>
  </w:style>
  <w:style w:type="character" w:customStyle="1" w:styleId="A5">
    <w:name w:val="A5"/>
    <w:uiPriority w:val="99"/>
    <w:rsid w:val="008E7D24"/>
    <w:rPr>
      <w:rFonts w:cs="Myriad Pro"/>
      <w:color w:val="000000"/>
    </w:rPr>
  </w:style>
  <w:style w:type="paragraph" w:customStyle="1" w:styleId="Pa0">
    <w:name w:val="Pa0"/>
    <w:basedOn w:val="Default"/>
    <w:next w:val="Default"/>
    <w:uiPriority w:val="99"/>
    <w:rsid w:val="00176ECE"/>
    <w:pPr>
      <w:spacing w:line="241" w:lineRule="atLeast"/>
    </w:pPr>
    <w:rPr>
      <w:rFonts w:cstheme="minorBidi"/>
      <w:color w:val="auto"/>
    </w:rPr>
  </w:style>
  <w:style w:type="character" w:customStyle="1" w:styleId="A0">
    <w:name w:val="A0"/>
    <w:uiPriority w:val="99"/>
    <w:rsid w:val="00176ECE"/>
    <w:rPr>
      <w:rFonts w:cs="Myriad Pro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207</Words>
  <Characters>1183</Characters>
  <Application>Microsoft Office Word</Application>
  <DocSecurity>0</DocSecurity>
  <Lines>9</Lines>
  <Paragraphs>2</Paragraphs>
  <ScaleCrop>false</ScaleCrop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2019-10-02T11:33:00Z</dcterms:created>
  <dcterms:modified xsi:type="dcterms:W3CDTF">2019-10-02T11:39:00Z</dcterms:modified>
</cp:coreProperties>
</file>